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spacing w:before="289" w:beforeLines="50" w:after="289" w:afterLines="50" w:line="640" w:lineRule="exact"/>
        <w:jc w:val="center"/>
        <w:textAlignment w:val="center"/>
        <w:rPr>
          <w:rFonts w:eastAsia="方正小标宋简体"/>
          <w:color w:val="000000"/>
          <w:spacing w:val="20"/>
          <w:sz w:val="40"/>
          <w:szCs w:val="40"/>
        </w:rPr>
      </w:pPr>
      <w:r>
        <w:rPr>
          <w:rFonts w:eastAsia="方正小标宋简体"/>
          <w:color w:val="000000"/>
          <w:spacing w:val="20"/>
          <w:sz w:val="40"/>
          <w:szCs w:val="40"/>
        </w:rPr>
        <w:t>毕节市残疾</w:t>
      </w:r>
      <w:bookmarkStart w:id="0" w:name="_GoBack"/>
      <w:bookmarkEnd w:id="0"/>
      <w:r>
        <w:rPr>
          <w:rFonts w:eastAsia="方正小标宋简体"/>
          <w:color w:val="000000"/>
          <w:spacing w:val="20"/>
          <w:sz w:val="40"/>
          <w:szCs w:val="40"/>
        </w:rPr>
        <w:t>预防行动重点工作责任分工</w:t>
      </w: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78"/>
        <w:gridCol w:w="1715"/>
        <w:gridCol w:w="1507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　　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2"/>
                <w:szCs w:val="22"/>
              </w:rPr>
              <w:t>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bCs/>
                <w:color w:val="000000"/>
                <w:szCs w:val="21"/>
              </w:rPr>
            </w:pPr>
            <w:r>
              <w:rPr>
                <w:rFonts w:ascii="黑体" w:eastAsia="黑体"/>
                <w:bCs/>
                <w:color w:val="000000"/>
                <w:kern w:val="0"/>
                <w:szCs w:val="21"/>
              </w:rPr>
              <w:t>重点工作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ascii="黑体" w:eastAsia="黑体"/>
                <w:bCs/>
                <w:color w:val="000000"/>
                <w:kern w:val="0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五大行动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（一）实施残疾预防知识普及行动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1.建立完善科普知识资源库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市委宣传部、市委网信办、</w:t>
            </w:r>
            <w:r>
              <w:rPr>
                <w:rFonts w:hint="eastAsia"/>
              </w:rPr>
              <w:t>毕节日报社、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市教育局、市生态环境局、市交通运输局、市应急管理局、市电视台、市总工会、团市委、市残联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2.加强残疾预防宣传教育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市委宣传部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市委网信办</w:t>
            </w: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</w:rPr>
              <w:t>毕节日报社、</w:t>
            </w:r>
            <w:r>
              <w:rPr>
                <w:rFonts w:hint="eastAsia" w:eastAsia="仿宋_GB2312" w:cs="宋体"/>
                <w:bCs/>
                <w:color w:val="000000"/>
                <w:kern w:val="0"/>
                <w:szCs w:val="21"/>
              </w:rPr>
              <w:t>市教育局、市工业和信息化局、市公安局、市民政局、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市司法局、市人力资源和社会保障局、市生态环境局、市交通运输局、市文化广电旅游局、市卫生健康局、市应急管理局、市消防救援支队、市电视台、市总工会、团市委、市妇联、市残联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（二）实施出生缺陷和发育障碍致残防控行动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3.做好婚前、孕前保健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市民政局、市妇联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4.做好产前筛查、诊断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5.做好儿童早期筛查和早期干预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市教育局、市妇联、市残联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（三）实施疾病致残防控行动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6.加强慢性病致残防控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市教育局、市体育局、市医疗保障局、市残联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7.加强社会心理服务和精神疾病防治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市委政法委、市公安局、市民政局、市卫生健康局、市应急管理局、市妇联、市残联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8.加强传染病及地方病致残防控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市疾病预防控制中心，各县&lt;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自治县、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市、区&gt;人民政府&lt;管委会&gt;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9.加强职业病致残防控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市发展改革委、市人力资源和社会保障局、市总工会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（四）实施伤害致残防控行动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10.加强安全生产和消防安全监督管理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市应急管理局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市教育局、市民政局、市住房城乡建设局、市交通运输局、市卫生健康局、市消防救援支队、市总工会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11.加强道路交通和运输安全管理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市公安局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市工业和信息化局、市交通运输局、市文化广电旅游局、市卫生健康局、市应急管理局、市市场监管局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12.加强儿童伤害和老年人跌倒致残防控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市教育局、市公安局、市民政局、市卫生健康局、市市场监管局、市妇联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13.强防灾减灾能力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市应急管理局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市教育局、市民政局、市自然资源和规划局、市交通运输局、市水务局、市卫生健康局、市消防救援支队、市气象局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14.加强农产品和食品药品安全监管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市农业农村局、市卫生健康局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15.加强饮用水安全保障和空气、噪声污染治理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市生态环境局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市公安局、市发展改革委、市工业和信息化局、市住房城乡建设局、市水务局、市卫生健康局、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市文化广电旅游局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（五）实施康复服务促进行动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16.开展康复医疗服务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市卫生健康局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市教育局、市民政局、市卫生健康局、市残联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17.开展残疾人基本康复服务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市残联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市教育局、市民政局、市卫生健康局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18.开展长期照护服务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市民政局、市卫生健康局、市市场监管局、市医疗保障局、毕节银保监分局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57" w:type="dxa"/>
            <w:vMerge w:val="continue"/>
            <w:vAlign w:val="center"/>
          </w:tcPr>
          <w:p/>
        </w:tc>
        <w:tc>
          <w:tcPr>
            <w:tcW w:w="878" w:type="dxa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19.开展无障碍设施建设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市住房城乡建设局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市工业和信息化局、市交通运输局、市民政局、市自然资源和规划局、市农业农村局、市文化广电旅游局、市残联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tabs>
                <w:tab w:val="left" w:pos="331"/>
              </w:tabs>
              <w:spacing w:line="36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四项保障措施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（一）加强组织保障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各级残疾人工作委员会及其成员单位、有关单位按职责分工负责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（二）加强体系建设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tabs>
                <w:tab w:val="left" w:pos="646"/>
              </w:tabs>
              <w:spacing w:line="360" w:lineRule="exact"/>
              <w:jc w:val="left"/>
              <w:rPr>
                <w:rFonts w:eastAsia="仿宋_GB2312"/>
                <w:bCs/>
                <w:color w:val="000000"/>
                <w:sz w:val="20"/>
                <w:szCs w:val="22"/>
              </w:rPr>
            </w:pPr>
            <w:r>
              <w:rPr>
                <w:rFonts w:eastAsia="仿宋_GB2312"/>
                <w:bCs/>
                <w:color w:val="000000"/>
                <w:sz w:val="20"/>
                <w:szCs w:val="22"/>
              </w:rPr>
              <w:t>市教育局、市科技局、市公安局、市民政局、市财政局、市人力资源和社会保障局、市生态环境局、市住房城乡建设局、市交通运输局、市卫生健康局、市应急管理局、市市场监管局、市疾病预防控制中心、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（三）加强监测评估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45" w:type="dxa"/>
            <w:vAlign w:val="center"/>
          </w:tcPr>
          <w:p>
            <w:pPr>
              <w:widowControl/>
              <w:tabs>
                <w:tab w:val="left" w:pos="646"/>
              </w:tabs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各级残疾人工作委员会及其成员单位、有关单位按职责分工负责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/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（四）加强宣传引导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tabs>
                <w:tab w:val="left" w:pos="496"/>
              </w:tabs>
              <w:spacing w:line="3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市委宣传部</w:t>
            </w:r>
          </w:p>
        </w:tc>
        <w:tc>
          <w:tcPr>
            <w:tcW w:w="4545" w:type="dxa"/>
            <w:vAlign w:val="center"/>
          </w:tcPr>
          <w:p>
            <w:pPr>
              <w:widowControl/>
              <w:tabs>
                <w:tab w:val="left" w:pos="691"/>
              </w:tabs>
              <w:spacing w:line="36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市委网信办、</w:t>
            </w:r>
            <w:r>
              <w:rPr>
                <w:rFonts w:hint="eastAsia"/>
              </w:rPr>
              <w:t>毕节日报社、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教育局、市工业和信息化局、市公安局、市民政局、市司法局、市生态环境局、市住房城乡建设局、市交通运输局、市文化广电旅游局、市卫生健康局、市应急管理局、市市场监管局、市消防救援支队、市电视台、市总工会、团市委、市妇联、市残联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Y1MzMwNWI3Yjk5NDkwNjUwOGNmODFlYzAxNGUifQ=="/>
  </w:docVars>
  <w:rsids>
    <w:rsidRoot w:val="6DB27454"/>
    <w:rsid w:val="6DB27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2023-01-13T01:39:00Z</dcterms:created>
  <dc:creator>半导体</dc:creator>
  <cp:lastModifiedBy>半导体</cp:lastModifiedBy>
  <dcterms:modified xsi:type="dcterms:W3CDTF">2023-01-13T01:39:59Z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6FFD22AE00DA464BA7EE44C55D2D6139</vt:lpwstr>
  </property>
</Properties>
</file>